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14 (Service Levels)</w:t>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tc>
        <w:tc>
          <w:tcPr>
            <w:shd w:fill="auto" w:val="clear"/>
          </w:tcPr>
          <w:p w:rsidR="00000000" w:rsidDel="00000000" w:rsidP="00000000" w:rsidRDefault="00000000" w:rsidRPr="00000000" w14:paraId="0000000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otherwise entitled to or does terminate this Contract pursuant to Clause 10.4 (CCS and Buyer Termination Rights).</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2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2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000000" w:rsidDel="00000000" w:rsidP="00000000" w:rsidRDefault="00000000" w:rsidRPr="00000000" w14:paraId="0000003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to Part A: Services Levels and Service Credits Table</w:t>
      </w:r>
      <w:r w:rsidDel="00000000" w:rsidR="00000000" w:rsidRPr="00000000">
        <w:rPr>
          <w:rtl w:val="0"/>
        </w:rPr>
      </w:r>
    </w:p>
    <w:p w:rsidR="00000000" w:rsidDel="00000000" w:rsidP="00000000" w:rsidRDefault="00000000" w:rsidRPr="00000000" w14:paraId="00000037">
      <w:pPr>
        <w:rPr>
          <w:rFonts w:ascii="Arial" w:cs="Arial" w:eastAsia="Arial" w:hAnsi="Arial"/>
          <w:sz w:val="24"/>
          <w:szCs w:val="24"/>
        </w:rPr>
      </w:pPr>
      <w:r w:rsidDel="00000000" w:rsidR="00000000" w:rsidRPr="00000000">
        <w:rPr>
          <w:rFonts w:ascii="Arial" w:cs="Arial" w:eastAsia="Arial" w:hAnsi="Arial"/>
          <w:sz w:val="24"/>
          <w:szCs w:val="24"/>
          <w:rtl w:val="0"/>
        </w:rPr>
        <w:t xml:space="preserve">The Buyer will measure the quality of the Supplier’s delivery against timelines for meeting the requirements and the alignment of their performance against Government’s Aqua Book.</w:t>
      </w:r>
    </w:p>
    <w:p w:rsidR="00000000" w:rsidDel="00000000" w:rsidP="00000000" w:rsidRDefault="00000000" w:rsidRPr="00000000" w14:paraId="00000038">
      <w:pPr>
        <w:rPr>
          <w:rFonts w:ascii="Arial" w:cs="Arial" w:eastAsia="Arial" w:hAnsi="Arial"/>
          <w:sz w:val="24"/>
          <w:szCs w:val="24"/>
        </w:rPr>
      </w:pPr>
      <w:r w:rsidDel="00000000" w:rsidR="00000000" w:rsidRPr="00000000">
        <w:rPr>
          <w:rFonts w:ascii="Arial" w:cs="Arial" w:eastAsia="Arial" w:hAnsi="Arial"/>
          <w:sz w:val="24"/>
          <w:szCs w:val="24"/>
          <w:rtl w:val="0"/>
        </w:rPr>
        <w:t xml:space="preserve">The Advisory Group must contain a minimum of seven members from civil society organisations and experts by experience.</w:t>
      </w:r>
    </w:p>
    <w:p w:rsidR="00000000" w:rsidDel="00000000" w:rsidP="00000000" w:rsidRDefault="00000000" w:rsidRPr="00000000" w14:paraId="00000039">
      <w:pPr>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carry out a minimum of 36 interviews with relevant experts and stakeholders. </w:t>
      </w:r>
      <w:r w:rsidDel="00000000" w:rsidR="00000000" w:rsidRPr="00000000">
        <w:br w:type="page"/>
      </w:r>
      <w:r w:rsidDel="00000000" w:rsidR="00000000" w:rsidRPr="00000000">
        <w:rPr>
          <w:rFonts w:ascii="Arial" w:cs="Arial" w:eastAsia="Arial" w:hAnsi="Arial"/>
          <w:b w:val="1"/>
          <w:sz w:val="36"/>
          <w:szCs w:val="36"/>
          <w:rtl w:val="0"/>
        </w:rPr>
        <w:t xml:space="preserve">Part B: Performance Monitoring </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3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3C">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3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3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3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4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4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4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43">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4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4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4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4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4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4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awt15rnz1wbi" w:id="0"/>
      <w:bookmarkEnd w:id="0"/>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1">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5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w:t>
      <w:tab/>
      <w:t xml:space="preserve">                                           </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14 (Service Levels)</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doiuo8TRDFLsGIx7oDgWkpTS/g==">CgMxLjAyDmguYXd0MTVybnoxd2JpOAByITE4aTVGQ2R4c1h6UHdSd005X3gyWGxBTXlyc0I1N0FTZQ==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2025-02-11T13:57:00Z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